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83ADA" w:rsidRPr="00A83ADA" w14:paraId="62310AEE" w14:textId="77777777" w:rsidTr="00A83ADA">
        <w:trPr>
          <w:jc w:val="center"/>
        </w:trPr>
        <w:tc>
          <w:tcPr>
            <w:tcW w:w="0" w:type="auto"/>
            <w:shd w:val="clear" w:color="auto" w:fill="15323A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83ADA" w:rsidRPr="00A83ADA" w14:paraId="2733210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3A31BC1B" w14:textId="77777777" w:rsidR="00A83ADA" w:rsidRPr="00A83ADA" w:rsidRDefault="00A83ADA" w:rsidP="00A83ADA">
                  <w:pPr>
                    <w:spacing w:after="120" w:line="240" w:lineRule="auto"/>
                    <w:jc w:val="both"/>
                    <w:outlineLvl w:val="3"/>
                    <w:rPr>
                      <w:rFonts w:ascii="Helvetica" w:eastAsia="Times New Roman" w:hAnsi="Helvetica" w:cs="Helvetica"/>
                      <w:b/>
                      <w:bCs/>
                      <w:cap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83ADA">
                    <w:rPr>
                      <w:rFonts w:ascii="Helvetica" w:eastAsia="Times New Roman" w:hAnsi="Helvetica" w:cs="Helvetica"/>
                      <w:b/>
                      <w:bCs/>
                      <w:cap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 NEWSLETTER 20/11/2023</w:t>
                  </w:r>
                </w:p>
                <w:p w14:paraId="210A3579" w14:textId="77777777" w:rsidR="00A83ADA" w:rsidRPr="00A83ADA" w:rsidRDefault="00A83ADA" w:rsidP="00A83ADA">
                  <w:pPr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83AD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 ACTIVITIES</w:t>
                  </w:r>
                </w:p>
                <w:p w14:paraId="1FB21862" w14:textId="77777777" w:rsidR="00A83ADA" w:rsidRPr="00A83ADA" w:rsidRDefault="00A83ADA" w:rsidP="00A83ADA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" w:history="1"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FRUCOM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meeting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in Hamburg on 16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November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power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point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presentation</w:t>
                    </w:r>
                    <w:proofErr w:type="spellEnd"/>
                  </w:hyperlink>
                </w:p>
                <w:p w14:paraId="0E5E2EA3" w14:textId="77777777" w:rsidR="00A83ADA" w:rsidRPr="00A83ADA" w:rsidRDefault="00A83ADA" w:rsidP="00A83ADA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6" w:history="1"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Official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controls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FRUCOM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meeting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recent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developments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22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November</w:t>
                    </w:r>
                    <w:proofErr w:type="spellEnd"/>
                  </w:hyperlink>
                </w:p>
                <w:p w14:paraId="4E2FDE2F" w14:textId="77777777" w:rsidR="00A83ADA" w:rsidRPr="00A83ADA" w:rsidRDefault="00A83ADA" w:rsidP="00A83ADA">
                  <w:pPr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83AD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 PRODUCTS</w:t>
                  </w:r>
                </w:p>
                <w:p w14:paraId="1D6B890B" w14:textId="77777777" w:rsidR="00A83ADA" w:rsidRPr="00A83ADA" w:rsidRDefault="00A83ADA" w:rsidP="00A83ADA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7" w:history="1"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Pests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update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anti-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coagulant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rodenticides</w:t>
                    </w:r>
                    <w:proofErr w:type="spellEnd"/>
                  </w:hyperlink>
                </w:p>
                <w:p w14:paraId="417527EA" w14:textId="77777777" w:rsidR="00A83ADA" w:rsidRPr="00A83ADA" w:rsidRDefault="00A83ADA" w:rsidP="00A83ADA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8" w:history="1"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third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country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discussions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SUR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MRLs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including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import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tolerances</w:t>
                    </w:r>
                    <w:proofErr w:type="spellEnd"/>
                  </w:hyperlink>
                </w:p>
                <w:p w14:paraId="46890955" w14:textId="77777777" w:rsidR="00A83ADA" w:rsidRPr="00A83ADA" w:rsidRDefault="00A83ADA" w:rsidP="00A83ADA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9" w:history="1"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Commission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states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it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will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renew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glyphosate</w:t>
                    </w:r>
                    <w:proofErr w:type="spellEnd"/>
                  </w:hyperlink>
                </w:p>
                <w:p w14:paraId="1237ED1B" w14:textId="77777777" w:rsidR="00A83ADA" w:rsidRPr="00A83ADA" w:rsidRDefault="00A83ADA" w:rsidP="00A83ADA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0" w:history="1"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Commission's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SUR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brieffing</w:t>
                    </w:r>
                    <w:proofErr w:type="spellEnd"/>
                  </w:hyperlink>
                </w:p>
                <w:p w14:paraId="068FD584" w14:textId="77777777" w:rsidR="00A83ADA" w:rsidRPr="00A83ADA" w:rsidRDefault="00A83ADA" w:rsidP="00A83ADA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1" w:history="1"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non-renewal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triflusulfuron-methyl</w:t>
                    </w:r>
                    <w:proofErr w:type="spellEnd"/>
                  </w:hyperlink>
                </w:p>
                <w:p w14:paraId="56FEDEFA" w14:textId="77777777" w:rsidR="00A83ADA" w:rsidRPr="00A83ADA" w:rsidRDefault="00A83ADA" w:rsidP="00A83ADA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2" w:history="1"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Organics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upcoming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initiative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amendment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list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products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substances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authorised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in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organic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production</w:t>
                    </w:r>
                    <w:proofErr w:type="spellEnd"/>
                  </w:hyperlink>
                </w:p>
                <w:p w14:paraId="0ABCF53D" w14:textId="77777777" w:rsidR="00A83ADA" w:rsidRPr="00A83ADA" w:rsidRDefault="00A83ADA" w:rsidP="00A83ADA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3" w:history="1"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Pests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regulation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proposal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non-quarantine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pests</w:t>
                    </w:r>
                    <w:proofErr w:type="spellEnd"/>
                  </w:hyperlink>
                </w:p>
                <w:p w14:paraId="0E18E587" w14:textId="77777777" w:rsidR="00A83ADA" w:rsidRPr="00A83ADA" w:rsidRDefault="00A83ADA" w:rsidP="00A83ADA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4" w:history="1"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EFSA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assessment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grape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seed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extract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as a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basic</w:t>
                    </w:r>
                    <w:proofErr w:type="spell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substance</w:t>
                    </w:r>
                    <w:proofErr w:type="spellEnd"/>
                  </w:hyperlink>
                </w:p>
                <w:p w14:paraId="6C2A20A4" w14:textId="77777777" w:rsidR="00A83ADA" w:rsidRPr="00A83ADA" w:rsidRDefault="00A83ADA" w:rsidP="00A83ADA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5" w:history="1"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RASFF NOTIFICATION: 2023/46 (13/11/</w:t>
                    </w:r>
                    <w:proofErr w:type="gramStart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2023 -</w:t>
                    </w:r>
                    <w:proofErr w:type="gramEnd"/>
                    <w:r w:rsidRPr="00A83ADA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19/11/2023)</w:t>
                    </w:r>
                  </w:hyperlink>
                </w:p>
              </w:tc>
            </w:tr>
            <w:tr w:rsidR="00A83ADA" w:rsidRPr="00A83ADA" w14:paraId="43BA541C" w14:textId="77777777">
              <w:trPr>
                <w:trHeight w:val="24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F87B1BB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5E3995B4" w14:textId="77777777" w:rsidR="00A83ADA" w:rsidRPr="00A83ADA" w:rsidRDefault="00A83ADA" w:rsidP="00A83ADA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D2D38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83ADA" w:rsidRPr="00A83ADA" w14:paraId="4B27E083" w14:textId="77777777" w:rsidTr="00A83AD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83ADA" w:rsidRPr="00A83ADA" w14:paraId="76F03311" w14:textId="77777777">
              <w:trPr>
                <w:trHeight w:val="6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E7D45EC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  <w:tr w:rsidR="00A83ADA" w:rsidRPr="00A83ADA" w14:paraId="63D0B9D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7E40630" w14:textId="77777777" w:rsidR="00A83ADA" w:rsidRPr="00A83ADA" w:rsidRDefault="00A83ADA" w:rsidP="00A83ADA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A83ADA"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FRUCOM ACTIVITIES</w:t>
                  </w:r>
                </w:p>
                <w:p w14:paraId="01CE58C0" w14:textId="77777777" w:rsidR="00A83ADA" w:rsidRPr="00A83ADA" w:rsidRDefault="00A83ADA" w:rsidP="00A83ADA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6" w:history="1">
                    <w:r w:rsidRPr="00A83ADA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FRUCOM MEETING IN HAMBURG ON 16 NOVEMBER: POWER POINT PRESENTATION</w:t>
                    </w:r>
                  </w:hyperlink>
                </w:p>
                <w:p w14:paraId="642F7439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team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would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like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thank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their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November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16th.</w:t>
                  </w:r>
                </w:p>
                <w:p w14:paraId="0B8A8A93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Here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power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point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presentation:</w:t>
                  </w:r>
                  <w:hyperlink r:id="rId17" w:history="1">
                    <w:r w:rsidRPr="00A83ADA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joint</w:t>
                    </w:r>
                    <w:proofErr w:type="spellEnd"/>
                    <w:r w:rsidRPr="00A83ADA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PPP</w:t>
                    </w:r>
                  </w:hyperlink>
                </w:p>
                <w:p w14:paraId="70AA89EA" w14:textId="77777777" w:rsidR="00A83ADA" w:rsidRDefault="00A83ADA" w:rsidP="00A83ADA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6DBCC223" w14:textId="0AE0E47F" w:rsidR="00A83ADA" w:rsidRPr="00A83ADA" w:rsidRDefault="00A83ADA" w:rsidP="00A83ADA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8" w:history="1">
                    <w:r w:rsidRPr="00A83ADA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OFFICIAL CONTROLS: FRUCOM MEETING ON RECENT DEVELOPMENTS ON 22 NOVEMBER</w:t>
                    </w:r>
                  </w:hyperlink>
                </w:p>
                <w:p w14:paraId="7D70B83D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developments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national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controls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destruction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goods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</w:t>
                  </w: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organized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Wednesday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22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November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16:30 CET.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link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859025B" w14:textId="77777777" w:rsidR="00A83ADA" w:rsidRPr="00A83ADA" w:rsidRDefault="00A83ADA" w:rsidP="00A83ADA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Join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Zoom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Meeting: </w:t>
                  </w:r>
                  <w:hyperlink r:id="rId19" w:history="1">
                    <w:r w:rsidRPr="00A83ADA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https://us02web.zoom.us/j/87539911210?pwd=Mmx6ZmtZSGJLT2J5N0Q2S01CVSsvZz09</w:t>
                    </w:r>
                  </w:hyperlink>
                </w:p>
                <w:p w14:paraId="39BC4330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 ID: 875 3991 1210</w:t>
                  </w:r>
                </w:p>
                <w:p w14:paraId="066A5205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Passcode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 364194</w:t>
                  </w:r>
                </w:p>
                <w:p w14:paraId="37D94B88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20" w:history="1">
                    <w:r w:rsidRPr="00A83ADA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https://frucom.eu/circulars/4350:official-controls-call-for-a-meeting-</w:t>
                    </w:r>
                    <w:r w:rsidRPr="00A83ADA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lastRenderedPageBreak/>
                      <w:t>on-recent-developments.html</w:t>
                    </w:r>
                  </w:hyperlink>
                </w:p>
                <w:p w14:paraId="26335F59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you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comments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questions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do not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hesitate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contact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Katri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Saari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(ksaari@frucom.eu).</w:t>
                  </w:r>
                </w:p>
                <w:p w14:paraId="5DA8B5C8" w14:textId="77777777" w:rsidR="00A83ADA" w:rsidRDefault="00A83ADA" w:rsidP="00A83ADA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20C28C98" w14:textId="75E49804" w:rsidR="00A83ADA" w:rsidRPr="00A83ADA" w:rsidRDefault="00A83ADA" w:rsidP="00A83ADA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A83ADA"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ALL PRODUCTS</w:t>
                  </w:r>
                </w:p>
                <w:p w14:paraId="62985E09" w14:textId="77777777" w:rsidR="00A83ADA" w:rsidRPr="00A83ADA" w:rsidRDefault="00A83ADA" w:rsidP="00A83ADA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1" w:history="1">
                    <w:r w:rsidRPr="00A83ADA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PESTS: UPDATE ON ANTI-COAGULANT RODENTICIDES</w:t>
                    </w:r>
                  </w:hyperlink>
                </w:p>
                <w:p w14:paraId="0A5C6FAA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received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possible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ban of anti-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coagulant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(AVK)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rodenticides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(background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here: </w:t>
                  </w:r>
                  <w:hyperlink r:id="rId22" w:history="1">
                    <w:r w:rsidRPr="00A83ADA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https://frucom.eu/circulars/4306:anti-coagulant-rodenticides-status-quo-october-2023.html</w:t>
                    </w:r>
                  </w:hyperlink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).</w:t>
                  </w: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According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Decision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AVK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Rodenticides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indoor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control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mice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EU27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during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5-8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Standing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Biocidal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(BPC).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seems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only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country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supports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general ban.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Another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an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ambiguous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position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7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8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commented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oppose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AVK ban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EU-BPC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Opinion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Therefore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already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indicated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it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likely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Decision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ban at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time.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would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leave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individual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determine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whether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EU-BPC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Opinion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account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making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national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47574FE" w14:textId="77777777" w:rsidR="00A83ADA" w:rsidRDefault="00A83ADA" w:rsidP="00A83ADA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56CEB0F2" w14:textId="06D7EB95" w:rsidR="00A83ADA" w:rsidRPr="00A83ADA" w:rsidRDefault="00A83ADA" w:rsidP="00A83ADA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3" w:history="1">
                    <w:r w:rsidRPr="00A83ADA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THIRD COUNTRY DISCUSSIONS ON SUR AND MRLS, INCLUDING IMPORT TOLERANCES</w:t>
                    </w:r>
                  </w:hyperlink>
                </w:p>
                <w:p w14:paraId="5267262E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Brazil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organized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update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Maximum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export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ban on 17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November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FRUCOM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among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industry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third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countries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'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missions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representatives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A308CA0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Sustainable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Pesticides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(SUR</w:t>
                  </w:r>
                  <w:proofErr w:type="gram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) -</w:t>
                  </w:r>
                  <w:proofErr w:type="gram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(M.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Kicinski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CropLife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Europe)</w:t>
                  </w:r>
                </w:p>
                <w:p w14:paraId="138FAEC5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AGRI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committee’s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opinion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SUR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clear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majority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9</w:t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vertAlign w:val="superscript"/>
                      <w:lang w:eastAsia="tr-TR"/>
                      <w14:ligatures w14:val="none"/>
                    </w:rPr>
                    <w:t>th</w:t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October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ENVI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24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October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Plenary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expected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22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November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A306A7A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Currently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whether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legally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binding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reduction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targets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;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if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a ban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sensitive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areas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;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whether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crop-specific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Integrated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management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tools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guidelines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E71728E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Spanish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presidency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aims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compromise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an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entire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November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2023.</w:t>
                  </w:r>
                </w:p>
                <w:p w14:paraId="6144A02E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proofErr w:type="gram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-</w:t>
                  </w:r>
                  <w:proofErr w:type="gram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update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M.Richter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W.Meyer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/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L.Wozniacki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CropLife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Europe)</w:t>
                  </w:r>
                </w:p>
                <w:p w14:paraId="20C1E273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CropLife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Europe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environmental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highlighted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Quinoxyfen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lufenuron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next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evaluated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environmental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issues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account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Currently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concrete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timeline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919122B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tolerances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Some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they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would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longer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support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tolerances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currently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point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tricyclazole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CropLife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Europe,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now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increased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lack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predictability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setting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tolerances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EU.</w:t>
                  </w:r>
                </w:p>
                <w:p w14:paraId="6C36F694" w14:textId="77777777" w:rsidR="00A83ADA" w:rsidRDefault="00A83ADA" w:rsidP="00A83ADA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258C06E6" w14:textId="49160126" w:rsidR="00A83ADA" w:rsidRPr="00A83ADA" w:rsidRDefault="00A83ADA" w:rsidP="00A83ADA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4" w:history="1">
                    <w:r w:rsidRPr="00A83ADA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THE COMMISSION STATES IT WILL RENEW GLYPHOSATE</w:t>
                    </w:r>
                  </w:hyperlink>
                </w:p>
                <w:p w14:paraId="07F17A01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On 16th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November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reach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qualified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majority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renew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reject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glyphosate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during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Appeal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previous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Standing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13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October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reach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majority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renew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reject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either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5E220AC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line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legislation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absence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majority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either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now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obliged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decision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before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15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2023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period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expires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-</w:t>
                  </w:r>
                  <w:proofErr w:type="gram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comprehensive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safety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carried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"https://www.efsa.europa.eu/en"</w:instrText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Safety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Authority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(EFSA)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"https://echa.europa.eu/"</w:instrText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Chemicals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Agency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(ECHA),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together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-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now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renewal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glyphosate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period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10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years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subject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conditions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restrictions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restrictions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prohibition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pre-harvest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desiccant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non-target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organisms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F0C5C0C" w14:textId="77777777" w:rsidR="00A83ADA" w:rsidRPr="00A83ADA" w:rsidRDefault="00A83ADA" w:rsidP="00A83ADA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responsible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national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authorisation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containing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glyphosate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continue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restrict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their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national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regional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if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they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consider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necessary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outcome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risk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particularly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factoring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biodiversity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83411F8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Journal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before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expiry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glyphosate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15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2023. 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conditions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restrictions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glyphosate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0A26097" w14:textId="77777777" w:rsidR="00A83ADA" w:rsidRPr="00A83ADA" w:rsidRDefault="00A83ADA" w:rsidP="001E60BC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</w:t>
                  </w: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hyperlink r:id="rId25" w:history="1">
                    <w:r w:rsidRPr="00A83ADA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https://ec.europa.eu/commission/presscorner/detail/en/statement_23_5792</w:t>
                    </w:r>
                  </w:hyperlink>
                </w:p>
                <w:p w14:paraId="71961099" w14:textId="77777777" w:rsidR="001E60BC" w:rsidRDefault="001E60BC" w:rsidP="001E60B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37905DDC" w14:textId="52DFDFB5" w:rsidR="00A83ADA" w:rsidRPr="00A83ADA" w:rsidRDefault="00A83ADA" w:rsidP="001E60B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6" w:history="1">
                    <w:r w:rsidRPr="00A83ADA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COMMISSION'S SUR BRIEFFING</w:t>
                    </w:r>
                  </w:hyperlink>
                </w:p>
                <w:p w14:paraId="386D9EA8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currently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it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expected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finalized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during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briefing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better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explain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developments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06C75C9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Under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farm-to-fork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strategy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Green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has set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itself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double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target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a 50 %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reduction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overall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chemical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50 %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reduction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hazardous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2030.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tabled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22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June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2022,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would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replace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2009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directive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would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contribute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collectively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achieving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EU-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wide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targets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through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attainment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binding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national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targets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biodiversity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citizens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'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would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banned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specific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sensitive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areas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limited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derogations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Monitoring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obligations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would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strengthened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BEF894B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Stakeholders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strongly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divided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environmental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organisations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are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pushing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ambition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farming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community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about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lack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alternatives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farmers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broad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coverage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sensitive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areas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consequences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business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continuity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Indicators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track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progress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towards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targets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subject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criticisms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various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sides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F72E3F3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Environment,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Safety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(ENVI),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responsible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file,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24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October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2023,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substantially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text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awaits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plenary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during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November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II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view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setting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Parliament's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position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still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agree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a general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approach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59FDC16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</w:t>
                  </w: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hyperlink r:id="rId27" w:history="1">
                    <w:r w:rsidRPr="00A83ADA">
                      <w:rPr>
                        <w:rFonts w:ascii="Arial" w:eastAsia="Times New Roman" w:hAnsi="Arial" w:cs="Arial"/>
                        <w:color w:val="2D2D38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https://www.europarl.europa.eu/thinktank/en/document/EPRS_BRI(2022)739218</w:t>
                    </w:r>
                  </w:hyperlink>
                </w:p>
                <w:p w14:paraId="30EC891A" w14:textId="77777777" w:rsidR="001E60BC" w:rsidRDefault="001E60BC" w:rsidP="001E60B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07CE7D32" w14:textId="2507A25D" w:rsidR="00A83ADA" w:rsidRPr="00A83ADA" w:rsidRDefault="00A83ADA" w:rsidP="001E60B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8" w:history="1">
                    <w:r w:rsidRPr="00A83ADA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NON-RENEWAL OF TRIFLUSULFURON-METHYL</w:t>
                    </w:r>
                  </w:hyperlink>
                </w:p>
                <w:p w14:paraId="17A5964C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2023/2513 of 16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November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2023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non-renewal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triflusulfuron-methyl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accordance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1107/2009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No 540/2011.</w:t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br/>
                    <w:t>EFSA</w:t>
                  </w: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identified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critical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contamination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groundwater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toxicologically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relevant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metabolite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triflusulfuron-methyl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IN-JU122.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Therefore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cannot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currently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presence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metabolites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triflusulfuron-methyl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groundwater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unacceptable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effects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groundwater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harmful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effects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human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</w:t>
                  </w: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1107/2009.</w:t>
                  </w:r>
                </w:p>
                <w:p w14:paraId="4683AA41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Furthermore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,</w:t>
                  </w: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EFSA</w:t>
                  </w: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concluded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triflusulfuron-methyl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endocrine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disrupting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properties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cause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adverse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effects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humans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as set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point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3.6.5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Annex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II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1107/2009.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EFSA,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negligible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exposure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cannot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demonstrated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triflusulfuron-methyl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since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above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default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value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set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18</w:t>
                  </w: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396/2005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expected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occur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rotational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crops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Therefore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set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point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3.6.5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Annex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II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1107/2009 is not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fulfilled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EFSA</w:t>
                  </w: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concluded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consumer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dietary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could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finalised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4274A21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EFSA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evaluated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whether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triflusulfuron-methyl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necessary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control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serious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danger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cannot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contained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non-chemical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methods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accordance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</w:t>
                  </w: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1107/2009.</w:t>
                  </w: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EFSA</w:t>
                  </w: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concluded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some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some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an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insufficient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chemical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alternatives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time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However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some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non-chemical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methods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instance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mechanical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weeding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although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they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same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efficacy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chemical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methods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they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economic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feasibility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limitations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further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chemical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alternatives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could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made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via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mutual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recognition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alternative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40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1107/2009.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considers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serious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danger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identified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Therefore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considers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conditions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derogation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4(7)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1107/2009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fulfilled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253B34C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Therefore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triflusulfuron-methyl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not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renewed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shall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withdraw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authorisations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containing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triflusulfuron-methyl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an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February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2024.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grace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period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granted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accordance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46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1107/2009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shall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expire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August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2024.</w:t>
                  </w:r>
                </w:p>
                <w:p w14:paraId="5012463F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shall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enter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force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third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Journal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(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17.11.2023).</w:t>
                  </w:r>
                </w:p>
                <w:p w14:paraId="681DBE58" w14:textId="77777777" w:rsidR="00A83ADA" w:rsidRPr="00A83ADA" w:rsidRDefault="00A83ADA" w:rsidP="001E60BC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29" w:history="1">
                    <w:r w:rsidRPr="00A83ADA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https://eur-lex.europa.eu/legal-content/EN/TXT/?uri=OJ:L_202302513</w:t>
                    </w:r>
                  </w:hyperlink>
                </w:p>
                <w:p w14:paraId="2B6FB835" w14:textId="77777777" w:rsidR="001E60BC" w:rsidRDefault="001E60BC" w:rsidP="001E60BC">
                  <w:pPr>
                    <w:spacing w:after="120" w:line="240" w:lineRule="auto"/>
                    <w:ind w:left="1440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49F2EEB6" w14:textId="7D547093" w:rsidR="00A83ADA" w:rsidRPr="00A83ADA" w:rsidRDefault="00A83ADA" w:rsidP="001E60B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0" w:history="1">
                    <w:r w:rsidRPr="00A83ADA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ORGANICS: UPCOMING INITIATIVE ON THE AMENDMENT OF THE LIST OF PRODUCTS AND SUBSTANCES AUTHORISED IN ORGANIC PRODUCTION</w:t>
                    </w:r>
                  </w:hyperlink>
                </w:p>
                <w:p w14:paraId="07BCA672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about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upcoming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initiative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amendment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authorised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organic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initiative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organic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must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regularly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currently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preparation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therefore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yet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B4A0D39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Feedback: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upcoming</w:t>
                  </w:r>
                  <w:proofErr w:type="spellEnd"/>
                </w:p>
                <w:p w14:paraId="12EA2B30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Planned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second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quarter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2024</w:t>
                  </w:r>
                </w:p>
                <w:p w14:paraId="3C877E12" w14:textId="77777777" w:rsidR="00A83ADA" w:rsidRPr="00A83ADA" w:rsidRDefault="00A83ADA" w:rsidP="001E60BC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31" w:history="1">
                    <w:r w:rsidRPr="00A83ADA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https://ec.europa.eu/info/law/better-regulation/have-your-say/initiatives/14024-Amendment-of-the-list-of-products-and-substances-authorised-in-organic-production_en</w:t>
                    </w:r>
                  </w:hyperlink>
                </w:p>
                <w:p w14:paraId="60F45391" w14:textId="77777777" w:rsidR="001E60BC" w:rsidRDefault="001E60BC" w:rsidP="001E60B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4CC09E21" w14:textId="77FA8605" w:rsidR="00A83ADA" w:rsidRPr="00A83ADA" w:rsidRDefault="00A83ADA" w:rsidP="001E60B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2" w:history="1">
                    <w:r w:rsidRPr="00A83ADA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PESTS: REGULATION PROPOSAL ON NON-QUARANTINE PESTS</w:t>
                    </w:r>
                  </w:hyperlink>
                </w:p>
                <w:p w14:paraId="147F2F5C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WTO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2016/2031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multiannual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survey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programmes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presence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non-quarantine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temporary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derogations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prohibitions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establishment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procedures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granting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them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temporary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objects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establishment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procedures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phytosanitary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certificates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passports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demarcated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areas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surveys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E4887F4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consists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targeted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amendments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item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subject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update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 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clarification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against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provisionally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qualifying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quarantine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but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fully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yet,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amendment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declarations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phytosanitary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certificate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non-quarantine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RNQPs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F9489EF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/mm/yy):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June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2024</w:t>
                  </w:r>
                </w:p>
                <w:p w14:paraId="307C7E0D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/mm/yy):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determined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2FC85AD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33" w:history="1">
                    <w:r w:rsidRPr="00A83ADA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https://docs.wto.org/dol2fe/Pages/SS/directdoc.aspx?filename=q:/G/SPS</w:t>
                    </w:r>
                    <w:r w:rsidRPr="00A83ADA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lastRenderedPageBreak/>
                      <w:t>/NEU694.pdf&amp;Open=True</w:t>
                    </w:r>
                  </w:hyperlink>
                </w:p>
                <w:p w14:paraId="0AA15C24" w14:textId="77777777" w:rsidR="001E60BC" w:rsidRDefault="001E60BC" w:rsidP="001E60B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6878CABD" w14:textId="1836D54B" w:rsidR="00A83ADA" w:rsidRPr="00A83ADA" w:rsidRDefault="00A83ADA" w:rsidP="001E60B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4" w:history="1">
                    <w:r w:rsidRPr="00A83ADA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EFSA ASSESSMENT OF GRAPE SEED EXTRACT AS A BASIC SUBSTANCE</w:t>
                    </w:r>
                  </w:hyperlink>
                </w:p>
                <w:p w14:paraId="7D06B589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EFSA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overall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conclusions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grape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extract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basic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fungicide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grapevines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potatoes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lettuce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intended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basic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grape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extract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global market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dietary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supplements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intended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basic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fungicide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grapevines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pome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potatoes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field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spray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leaf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vegetables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field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greenhouse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Considering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grape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extract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market as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supplement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section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3.1),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allocate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reference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values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quantitative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estimate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non-dietary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exposure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basis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raised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human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animal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intended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basic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applicable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dietary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exposure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consumers</w:t>
                  </w:r>
                  <w:proofErr w:type="spellEnd"/>
                </w:p>
                <w:p w14:paraId="056F32CC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non-target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organisms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low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can be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concluded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intended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birds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mammals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non-target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arthropods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soil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macro-organisms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micro-organisms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target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organisms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(fauna)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biological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methods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sewage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treatment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031A60C" w14:textId="77777777" w:rsidR="001E60BC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</w:t>
                  </w: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hyperlink r:id="rId35" w:history="1">
                    <w:r w:rsidRPr="00A83ADA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https://efsa.onlinelibrary.wiley.com/doi/epdf/10.2903/sp.efsa.2023.EN-8435</w:t>
                    </w:r>
                  </w:hyperlink>
                </w:p>
                <w:p w14:paraId="60E5449E" w14:textId="77777777" w:rsidR="001E60BC" w:rsidRDefault="001E60BC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51A0DE56" w14:textId="2BBBDBA0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6" w:history="1">
                    <w:r w:rsidRPr="00A83ADA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RASFF NOTIFICATION: 2023/46 (13/11/</w:t>
                    </w:r>
                    <w:proofErr w:type="gramStart"/>
                    <w:r w:rsidRPr="00A83ADA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2023 -</w:t>
                    </w:r>
                    <w:proofErr w:type="gramEnd"/>
                    <w:r w:rsidRPr="00A83ADA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19/11/2023)</w:t>
                    </w:r>
                  </w:hyperlink>
                </w:p>
                <w:p w14:paraId="237E5BF7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FRUCOM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compiling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RASFF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week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2023/46 (13/11/</w:t>
                  </w:r>
                  <w:proofErr w:type="gram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2023 -</w:t>
                  </w:r>
                  <w:proofErr w:type="gram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19/11/2023).</w:t>
                  </w:r>
                </w:p>
                <w:p w14:paraId="419ADA96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Information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RASFF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SANTE’s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online </w:t>
                  </w:r>
                  <w:proofErr w:type="spellStart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  <w:r w:rsidRPr="00A83ADA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CC08DBF" w14:textId="7777777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7" w:history="1">
                    <w:r w:rsidRPr="00A83ADA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FRUCOMRASFF202</w:t>
                    </w:r>
                    <w:r w:rsidRPr="00A83ADA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3_Week46</w:t>
                    </w:r>
                  </w:hyperlink>
                </w:p>
                <w:p w14:paraId="320ACFC0" w14:textId="568643C7" w:rsidR="00A83ADA" w:rsidRPr="00A83ADA" w:rsidRDefault="00A83ADA" w:rsidP="001E60B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59772734" w14:textId="77777777" w:rsidR="00A83ADA" w:rsidRPr="00A83ADA" w:rsidRDefault="00A83ADA" w:rsidP="00A83ADA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D2D38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12639F2F" w14:textId="1B848584" w:rsidR="00EF657A" w:rsidRPr="00A83ADA" w:rsidRDefault="00EF657A" w:rsidP="00A83ADA">
      <w:pPr>
        <w:spacing w:after="120" w:line="240" w:lineRule="auto"/>
        <w:jc w:val="both"/>
        <w:rPr>
          <w:sz w:val="24"/>
          <w:szCs w:val="24"/>
        </w:rPr>
      </w:pPr>
    </w:p>
    <w:sectPr w:rsidR="00EF657A" w:rsidRPr="00A83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118"/>
    <w:multiLevelType w:val="multilevel"/>
    <w:tmpl w:val="E09C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B15C2"/>
    <w:multiLevelType w:val="multilevel"/>
    <w:tmpl w:val="AEB0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438842">
    <w:abstractNumId w:val="0"/>
  </w:num>
  <w:num w:numId="2" w16cid:durableId="195698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B4"/>
    <w:rsid w:val="001E60BC"/>
    <w:rsid w:val="00233D2D"/>
    <w:rsid w:val="00376CB0"/>
    <w:rsid w:val="004C6816"/>
    <w:rsid w:val="00640C57"/>
    <w:rsid w:val="008800BE"/>
    <w:rsid w:val="008F101B"/>
    <w:rsid w:val="00936112"/>
    <w:rsid w:val="00A83ADA"/>
    <w:rsid w:val="00C073AC"/>
    <w:rsid w:val="00C365E6"/>
    <w:rsid w:val="00C5603A"/>
    <w:rsid w:val="00CD3BBD"/>
    <w:rsid w:val="00D0455A"/>
    <w:rsid w:val="00D36EB8"/>
    <w:rsid w:val="00D4682C"/>
    <w:rsid w:val="00DA1C45"/>
    <w:rsid w:val="00DE00B4"/>
    <w:rsid w:val="00E4174E"/>
    <w:rsid w:val="00EE0DF5"/>
    <w:rsid w:val="00EF657A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6BA2"/>
  <w15:chartTrackingRefBased/>
  <w15:docId w15:val="{080ECF91-159E-4CA3-885C-8C403618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83A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A83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A83A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83ADA"/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83ADA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A83ADA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83A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83A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824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02940626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83935153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08614646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96770794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62608074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39415565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26676436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32207766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58310467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10837934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theme" Target="theme/theme1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frucom.eu/component/attachments/attachments.html?task=attachment&amp;id=2209" TargetMode="External"/><Relationship Id="rId25" Type="http://schemas.openxmlformats.org/officeDocument/2006/relationships/hyperlink" Target="https://ec.europa.eu/commission/presscorner/detail/en/statement_23_5792" TargetMode="External"/><Relationship Id="rId33" Type="http://schemas.openxmlformats.org/officeDocument/2006/relationships/hyperlink" Target="https://docs.wto.org/dol2fe/Pages/SS/directdoc.aspx?filename=q:/G/SPS/NEU694.pdf&amp;Open=Tru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s://frucom.eu/circulars/4350:official-controls-call-for-a-meeting-on-recent-developments.html" TargetMode="External"/><Relationship Id="rId29" Type="http://schemas.openxmlformats.org/officeDocument/2006/relationships/hyperlink" Target="https://eur-lex.europa.eu/legal-content/EN/TXT/?uri=OJ:L_202302513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https://frucom.eu/component/attachments/attachments.html?task=attachment&amp;id=2208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us02web.zoom.us/j/87539911210?pwd=Mmx6ZmtZSGJLT2J5N0Q2S01CVSsvZz09" TargetMode="External"/><Relationship Id="rId31" Type="http://schemas.openxmlformats.org/officeDocument/2006/relationships/hyperlink" Target="https://ec.europa.eu/info/law/better-regulation/have-your-say/initiatives/14024-Amendment-of-the-list-of-products-and-substances-authorised-in-organic-production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frucom.eu/circulars/4306:anti-coagulant-rodenticides-status-quo-october-2023.html" TargetMode="External"/><Relationship Id="rId27" Type="http://schemas.openxmlformats.org/officeDocument/2006/relationships/hyperlink" Target="https://www.europarl.europa.eu/thinktank/en/document/EPRS_BRI(2022)739218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https://efsa.onlinelibrary.wiley.com/doi/epdf/10.2903/sp.efsa.2023.EN-8435" TargetMode="External"/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bilge.turk@egebirlik.org.tr</dc:creator>
  <cp:keywords/>
  <dc:description/>
  <cp:lastModifiedBy>bilge.turk@egebirlik.org.tr</cp:lastModifiedBy>
  <cp:revision>2</cp:revision>
  <dcterms:created xsi:type="dcterms:W3CDTF">2023-11-21T05:38:00Z</dcterms:created>
  <dcterms:modified xsi:type="dcterms:W3CDTF">2023-11-21T05:38:00Z</dcterms:modified>
</cp:coreProperties>
</file>